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7811BB" w:rsidTr="00DE3D8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1BB" w:rsidRPr="006123ED" w:rsidRDefault="007811BB" w:rsidP="00DE3D89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11BB" w:rsidRPr="00214A2F" w:rsidRDefault="007811BB" w:rsidP="00781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811BB" w:rsidRPr="00214A2F" w:rsidRDefault="007811BB" w:rsidP="00781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7811BB" w:rsidRPr="00214A2F" w:rsidRDefault="007811BB" w:rsidP="007811BB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811BB" w:rsidRDefault="007811BB" w:rsidP="007811B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7811BB" w:rsidRDefault="007811BB" w:rsidP="007811BB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7811BB" w:rsidRDefault="007811BB" w:rsidP="007811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 5 сентября   2016 года № 171/1</w:t>
      </w:r>
    </w:p>
    <w:p w:rsidR="007811BB" w:rsidRDefault="007811BB" w:rsidP="007811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7811BB" w:rsidRDefault="007811BB" w:rsidP="007811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4161BD" w:rsidRPr="004161BD" w:rsidRDefault="004161BD" w:rsidP="004161BD">
      <w:pPr>
        <w:tabs>
          <w:tab w:val="left" w:pos="6946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Озинского муниципального района</w:t>
      </w:r>
    </w:p>
    <w:p w:rsidR="004161BD" w:rsidRDefault="004161BD" w:rsidP="004161BD">
      <w:pPr>
        <w:tabs>
          <w:tab w:val="left" w:pos="6946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>от 02.08.2016 года № 145</w:t>
      </w:r>
    </w:p>
    <w:p w:rsidR="004161BD" w:rsidRDefault="004161BD" w:rsidP="004161BD">
      <w:pPr>
        <w:tabs>
          <w:tab w:val="left" w:pos="6946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4161BD" w:rsidRPr="004161BD" w:rsidRDefault="004161BD" w:rsidP="004161BD">
      <w:pPr>
        <w:tabs>
          <w:tab w:val="left" w:pos="6946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4161BD" w:rsidRPr="004161BD" w:rsidRDefault="004161BD" w:rsidP="004161BD">
      <w:pPr>
        <w:tabs>
          <w:tab w:val="left" w:pos="21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 xml:space="preserve">                В целях уточнения финансирования муниципальной программы «Повышение энергетической   эффективности и энергосбережения  на территории  Озинского муниципального района на 2016 год», руководствуясь Уставом Озинского муниципального района Саратовской области, ПОСТАНОВЛЯЮ:</w:t>
      </w:r>
    </w:p>
    <w:p w:rsidR="004161BD" w:rsidRPr="004161BD" w:rsidRDefault="004161BD" w:rsidP="0041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 xml:space="preserve">          1. Внести в постановление администрации муниципального района от 02 августа 2016 года № 145 «Повышение энергетической   эффективности и энергосбережения  на территории  Озинского муниципального района» на 2016 год следующие изменения: </w:t>
      </w:r>
    </w:p>
    <w:p w:rsidR="004161BD" w:rsidRPr="004161BD" w:rsidRDefault="004161BD" w:rsidP="004161BD">
      <w:pPr>
        <w:spacing w:after="0" w:line="240" w:lineRule="auto"/>
        <w:jc w:val="both"/>
        <w:rPr>
          <w:rStyle w:val="a6"/>
          <w:rFonts w:ascii="Times New Roman" w:hAnsi="Times New Roman"/>
          <w:b w:val="0"/>
          <w:bCs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 xml:space="preserve">          1.1</w:t>
      </w:r>
      <w:proofErr w:type="gramStart"/>
      <w:r w:rsidRPr="004161B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161BD">
        <w:rPr>
          <w:rFonts w:ascii="Times New Roman" w:hAnsi="Times New Roman"/>
          <w:sz w:val="28"/>
          <w:szCs w:val="28"/>
        </w:rPr>
        <w:t xml:space="preserve"> приложение паспорт муниципальной программы «Повышение энергетической   эффективности и энергосбережения  на территории  Озинского муниципального района на 2016 год» «</w:t>
      </w:r>
      <w:r w:rsidRPr="004161BD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Объем     и      источники </w:t>
      </w:r>
      <w:r w:rsidRPr="004161BD">
        <w:rPr>
          <w:rFonts w:ascii="Times New Roman" w:hAnsi="Times New Roman"/>
          <w:sz w:val="28"/>
          <w:szCs w:val="28"/>
        </w:rPr>
        <w:t xml:space="preserve"> </w:t>
      </w:r>
      <w:r w:rsidRPr="004161BD">
        <w:rPr>
          <w:rStyle w:val="a6"/>
          <w:rFonts w:ascii="Times New Roman" w:hAnsi="Times New Roman"/>
          <w:b w:val="0"/>
          <w:bCs/>
          <w:sz w:val="28"/>
          <w:szCs w:val="28"/>
        </w:rPr>
        <w:t>финансирования Программы» изложить в новой редакции:</w:t>
      </w:r>
    </w:p>
    <w:p w:rsidR="004161BD" w:rsidRPr="004161BD" w:rsidRDefault="004161BD" w:rsidP="004161BD">
      <w:pPr>
        <w:pStyle w:val="a7"/>
        <w:rPr>
          <w:rFonts w:ascii="Times New Roman" w:hAnsi="Times New Roman" w:cs="Times New Roman"/>
          <w:sz w:val="28"/>
          <w:szCs w:val="28"/>
        </w:rPr>
      </w:pPr>
      <w:r w:rsidRPr="004161BD">
        <w:rPr>
          <w:rStyle w:val="a6"/>
          <w:rFonts w:ascii="Times New Roman" w:hAnsi="Times New Roman" w:cs="Times New Roman"/>
          <w:b w:val="0"/>
          <w:bCs/>
          <w:sz w:val="28"/>
          <w:szCs w:val="28"/>
        </w:rPr>
        <w:t xml:space="preserve">         </w:t>
      </w:r>
      <w:r w:rsidRPr="004161BD">
        <w:rPr>
          <w:rFonts w:ascii="Times New Roman" w:hAnsi="Times New Roman" w:cs="Times New Roman"/>
          <w:sz w:val="28"/>
          <w:szCs w:val="28"/>
        </w:rPr>
        <w:t xml:space="preserve">- всего  на  реализацию  Программы  требуется </w:t>
      </w:r>
      <w:r w:rsidRPr="004161BD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  </w:t>
      </w:r>
      <w:r w:rsidRPr="004161BD">
        <w:rPr>
          <w:rFonts w:ascii="Times New Roman" w:hAnsi="Times New Roman" w:cs="Times New Roman"/>
          <w:sz w:val="28"/>
          <w:szCs w:val="28"/>
        </w:rPr>
        <w:t xml:space="preserve">   </w:t>
      </w:r>
      <w:r w:rsidRPr="004161BD">
        <w:rPr>
          <w:rFonts w:ascii="Times New Roman" w:hAnsi="Times New Roman"/>
          <w:color w:val="000000"/>
          <w:sz w:val="28"/>
          <w:szCs w:val="28"/>
        </w:rPr>
        <w:t>2552651-44</w:t>
      </w:r>
      <w:r w:rsidRPr="004161BD">
        <w:rPr>
          <w:rFonts w:ascii="Times New Roman" w:hAnsi="Times New Roman" w:cs="Times New Roman"/>
          <w:sz w:val="28"/>
          <w:szCs w:val="28"/>
        </w:rPr>
        <w:t xml:space="preserve"> рублей, их них:</w:t>
      </w:r>
    </w:p>
    <w:p w:rsidR="004161BD" w:rsidRPr="004161BD" w:rsidRDefault="004161BD" w:rsidP="004161BD">
      <w:pPr>
        <w:pStyle w:val="a7"/>
        <w:rPr>
          <w:rFonts w:ascii="Times New Roman" w:hAnsi="Times New Roman" w:cs="Times New Roman"/>
          <w:sz w:val="28"/>
          <w:szCs w:val="28"/>
        </w:rPr>
      </w:pPr>
      <w:r w:rsidRPr="004161BD">
        <w:rPr>
          <w:rFonts w:ascii="Times New Roman" w:hAnsi="Times New Roman" w:cs="Times New Roman"/>
          <w:sz w:val="28"/>
          <w:szCs w:val="28"/>
        </w:rPr>
        <w:t xml:space="preserve">            средства местного бюджета – </w:t>
      </w:r>
      <w:r w:rsidRPr="004161BD">
        <w:rPr>
          <w:rFonts w:ascii="Times New Roman" w:hAnsi="Times New Roman"/>
          <w:color w:val="000000"/>
          <w:sz w:val="28"/>
          <w:szCs w:val="28"/>
        </w:rPr>
        <w:t>2552651-44</w:t>
      </w:r>
      <w:r w:rsidRPr="004161B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161BD" w:rsidRPr="004161BD" w:rsidRDefault="004161BD" w:rsidP="004161BD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1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1.2. в разделе 3 «Ресурсное обеспечение Программы» абзац третий изложить в новой редакции:</w:t>
      </w:r>
      <w:r w:rsidRPr="00416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1BD" w:rsidRPr="004161BD" w:rsidRDefault="004161BD" w:rsidP="004161BD">
      <w:pPr>
        <w:pStyle w:val="1"/>
        <w:spacing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161BD">
        <w:rPr>
          <w:rFonts w:ascii="Times New Roman" w:hAnsi="Times New Roman" w:cs="Times New Roman"/>
          <w:sz w:val="28"/>
          <w:szCs w:val="28"/>
        </w:rPr>
        <w:t xml:space="preserve"> «</w:t>
      </w:r>
      <w:r w:rsidRPr="004161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Общая потребность в затратах на реализацию Программы составит    </w:t>
      </w:r>
      <w:r w:rsidRPr="004161BD">
        <w:rPr>
          <w:rFonts w:ascii="Times New Roman" w:hAnsi="Times New Roman"/>
          <w:b w:val="0"/>
          <w:color w:val="000000"/>
          <w:sz w:val="28"/>
          <w:szCs w:val="28"/>
        </w:rPr>
        <w:t>2552651-44</w:t>
      </w:r>
      <w:r w:rsidRPr="004161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рублей, из них местного бюджета – </w:t>
      </w:r>
      <w:r w:rsidRPr="004161BD">
        <w:rPr>
          <w:rFonts w:ascii="Times New Roman" w:hAnsi="Times New Roman"/>
          <w:b w:val="0"/>
          <w:color w:val="000000"/>
          <w:sz w:val="28"/>
          <w:szCs w:val="28"/>
        </w:rPr>
        <w:t>2552651-44</w:t>
      </w:r>
      <w:r w:rsidRPr="004161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руб.»</w:t>
      </w:r>
    </w:p>
    <w:p w:rsidR="004161BD" w:rsidRPr="004161BD" w:rsidRDefault="004161BD" w:rsidP="0041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 xml:space="preserve">           1.3 Приложения №1, №2 к программе изложить в новой редакции, согласно приложениям №1, №2 к настоящему постановлению.</w:t>
      </w:r>
    </w:p>
    <w:p w:rsidR="004161BD" w:rsidRPr="004161BD" w:rsidRDefault="004161BD" w:rsidP="004161BD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61BD">
        <w:rPr>
          <w:rFonts w:ascii="Times New Roman" w:hAnsi="Times New Roman"/>
          <w:sz w:val="28"/>
          <w:szCs w:val="28"/>
        </w:rPr>
        <w:t xml:space="preserve">         2.Контроль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4161BD">
        <w:rPr>
          <w:rFonts w:ascii="Times New Roman" w:hAnsi="Times New Roman"/>
          <w:sz w:val="28"/>
          <w:szCs w:val="28"/>
        </w:rPr>
        <w:t>Перина Д.</w:t>
      </w:r>
      <w:proofErr w:type="gramEnd"/>
      <w:r w:rsidRPr="004161BD">
        <w:rPr>
          <w:rFonts w:ascii="Times New Roman" w:hAnsi="Times New Roman"/>
          <w:sz w:val="28"/>
          <w:szCs w:val="28"/>
        </w:rPr>
        <w:t>В.</w:t>
      </w:r>
    </w:p>
    <w:p w:rsidR="004161BD" w:rsidRPr="004161BD" w:rsidRDefault="004161BD" w:rsidP="00416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1BD" w:rsidRPr="004161BD" w:rsidRDefault="004161BD" w:rsidP="00416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61B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4161BD" w:rsidRDefault="004161BD" w:rsidP="004161BD">
      <w:pPr>
        <w:spacing w:after="0" w:line="240" w:lineRule="auto"/>
        <w:rPr>
          <w:rFonts w:ascii="Times New Roman" w:hAnsi="Times New Roman"/>
          <w:sz w:val="28"/>
          <w:szCs w:val="28"/>
        </w:rPr>
        <w:sectPr w:rsidR="004161BD" w:rsidSect="009B3392">
          <w:pgSz w:w="11906" w:h="16838"/>
          <w:pgMar w:top="737" w:right="1134" w:bottom="567" w:left="1701" w:header="720" w:footer="720" w:gutter="0"/>
          <w:cols w:space="720"/>
          <w:noEndnote/>
        </w:sectPr>
      </w:pPr>
      <w:r w:rsidRPr="004161BD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4161BD">
        <w:rPr>
          <w:rFonts w:ascii="Times New Roman" w:hAnsi="Times New Roman"/>
          <w:b/>
          <w:sz w:val="28"/>
          <w:szCs w:val="28"/>
        </w:rPr>
        <w:tab/>
      </w:r>
      <w:r w:rsidRPr="004161BD">
        <w:rPr>
          <w:rFonts w:ascii="Times New Roman" w:hAnsi="Times New Roman"/>
          <w:b/>
          <w:sz w:val="28"/>
          <w:szCs w:val="28"/>
        </w:rPr>
        <w:tab/>
      </w:r>
      <w:r w:rsidRPr="004161BD">
        <w:rPr>
          <w:rFonts w:ascii="Times New Roman" w:hAnsi="Times New Roman"/>
          <w:b/>
          <w:sz w:val="28"/>
          <w:szCs w:val="28"/>
        </w:rPr>
        <w:tab/>
      </w:r>
      <w:r w:rsidRPr="004161BD">
        <w:rPr>
          <w:rFonts w:ascii="Times New Roman" w:hAnsi="Times New Roman"/>
          <w:b/>
          <w:sz w:val="28"/>
          <w:szCs w:val="28"/>
        </w:rPr>
        <w:tab/>
      </w:r>
      <w:r w:rsidRPr="004161BD">
        <w:rPr>
          <w:rFonts w:ascii="Times New Roman" w:hAnsi="Times New Roman"/>
          <w:b/>
          <w:sz w:val="28"/>
          <w:szCs w:val="28"/>
        </w:rPr>
        <w:tab/>
        <w:t xml:space="preserve">        А.А. Галяшкина</w:t>
      </w:r>
      <w:bookmarkStart w:id="0" w:name="sub_4600"/>
      <w:r w:rsidRPr="004161BD">
        <w:rPr>
          <w:rFonts w:ascii="Times New Roman" w:hAnsi="Times New Roman"/>
          <w:sz w:val="28"/>
          <w:szCs w:val="28"/>
        </w:rPr>
        <w:t xml:space="preserve">     </w:t>
      </w:r>
    </w:p>
    <w:bookmarkEnd w:id="0"/>
    <w:p w:rsidR="004161BD" w:rsidRPr="004161BD" w:rsidRDefault="004161BD" w:rsidP="004161BD">
      <w:pPr>
        <w:spacing w:after="0" w:line="240" w:lineRule="auto"/>
        <w:jc w:val="both"/>
        <w:rPr>
          <w:sz w:val="28"/>
          <w:szCs w:val="28"/>
        </w:rPr>
        <w:sectPr w:rsidR="004161BD" w:rsidRPr="004161BD" w:rsidSect="004161BD">
          <w:pgSz w:w="16838" w:h="11906" w:orient="landscape"/>
          <w:pgMar w:top="794" w:right="737" w:bottom="1134" w:left="567" w:header="720" w:footer="720" w:gutter="0"/>
          <w:cols w:space="720"/>
          <w:noEndnote/>
        </w:sectPr>
      </w:pPr>
    </w:p>
    <w:tbl>
      <w:tblPr>
        <w:tblpPr w:leftFromText="180" w:rightFromText="180" w:horzAnchor="margin" w:tblpY="-699"/>
        <w:tblW w:w="1589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60"/>
        <w:gridCol w:w="1063"/>
        <w:gridCol w:w="1306"/>
        <w:gridCol w:w="248"/>
        <w:gridCol w:w="742"/>
        <w:gridCol w:w="790"/>
        <w:gridCol w:w="1055"/>
        <w:gridCol w:w="313"/>
        <w:gridCol w:w="112"/>
        <w:gridCol w:w="1164"/>
        <w:gridCol w:w="192"/>
        <w:gridCol w:w="912"/>
        <w:gridCol w:w="284"/>
        <w:gridCol w:w="141"/>
        <w:gridCol w:w="1276"/>
        <w:gridCol w:w="851"/>
        <w:gridCol w:w="2268"/>
        <w:gridCol w:w="22"/>
      </w:tblGrid>
      <w:tr w:rsidR="004161BD" w:rsidRPr="00AD22CE" w:rsidTr="00DE3D89">
        <w:trPr>
          <w:trHeight w:val="615"/>
        </w:trPr>
        <w:tc>
          <w:tcPr>
            <w:tcW w:w="15899" w:type="dxa"/>
            <w:gridSpan w:val="1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161BD" w:rsidRPr="00AD22CE" w:rsidRDefault="004161BD" w:rsidP="0041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Перечень  программных мероприятий муниципальной программы "Повышение энергетической эффективности           </w:t>
            </w:r>
          </w:p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энергосбережения на территории  Озинского муниципального района  на 2016 год"</w:t>
            </w:r>
          </w:p>
        </w:tc>
      </w:tr>
      <w:tr w:rsidR="004161BD" w:rsidRPr="00AD22CE" w:rsidTr="00DE3D89">
        <w:trPr>
          <w:gridAfter w:val="1"/>
          <w:wAfter w:w="22" w:type="dxa"/>
          <w:trHeight w:val="496"/>
        </w:trPr>
        <w:tc>
          <w:tcPr>
            <w:tcW w:w="3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 мероприятий 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Сроки исполнения (год)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Стоимость мероприятий </w:t>
            </w:r>
            <w:proofErr w:type="gramStart"/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( </w:t>
            </w:r>
            <w:proofErr w:type="gramEnd"/>
            <w:r w:rsidRPr="00AD22CE">
              <w:rPr>
                <w:rFonts w:ascii="Times New Roman" w:hAnsi="Times New Roman"/>
                <w:b/>
                <w:bCs/>
                <w:color w:val="000000"/>
              </w:rPr>
              <w:t>руб.)</w:t>
            </w:r>
          </w:p>
        </w:tc>
        <w:tc>
          <w:tcPr>
            <w:tcW w:w="55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             Источники финансирования </w:t>
            </w:r>
            <w:proofErr w:type="gramStart"/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( </w:t>
            </w:r>
            <w:proofErr w:type="gramEnd"/>
            <w:r w:rsidRPr="00AD22CE">
              <w:rPr>
                <w:rFonts w:ascii="Times New Roman" w:hAnsi="Times New Roman"/>
                <w:b/>
                <w:bCs/>
                <w:color w:val="000000"/>
              </w:rPr>
              <w:t>руб.)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Ожидаемые результаты</w:t>
            </w:r>
          </w:p>
        </w:tc>
      </w:tr>
      <w:tr w:rsidR="004161BD" w:rsidRPr="00AD22CE" w:rsidTr="004161BD">
        <w:trPr>
          <w:gridAfter w:val="1"/>
          <w:wAfter w:w="22" w:type="dxa"/>
          <w:trHeight w:val="290"/>
        </w:trPr>
        <w:tc>
          <w:tcPr>
            <w:tcW w:w="3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Федеральный бюджет (прогноз)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52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D22CE">
              <w:rPr>
                <w:rFonts w:ascii="Times New Roman" w:hAnsi="Times New Roman"/>
                <w:b/>
                <w:bCs/>
                <w:color w:val="000000"/>
              </w:rPr>
              <w:t>Внебюджет</w:t>
            </w:r>
            <w:proofErr w:type="spellEnd"/>
            <w:r w:rsidRPr="00AD22CE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 источники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161BD" w:rsidRPr="00AD22CE" w:rsidTr="00DE3D89">
        <w:trPr>
          <w:gridAfter w:val="1"/>
          <w:wAfter w:w="22" w:type="dxa"/>
          <w:trHeight w:val="290"/>
        </w:trPr>
        <w:tc>
          <w:tcPr>
            <w:tcW w:w="114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1. Мероприятия по энергосбережению и повышению энергетической эффективности жилищного фонда: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161BD" w:rsidRPr="00AD22CE" w:rsidTr="004161BD">
        <w:trPr>
          <w:gridAfter w:val="1"/>
          <w:wAfter w:w="22" w:type="dxa"/>
          <w:trHeight w:val="1201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Текущий  ремонт нежилого здания- котельной МБУК «СКО ОМР», расположенной  по адресу: р.п. Озинки, ул. Ленина, д. 22</w:t>
            </w:r>
            <w:proofErr w:type="gramStart"/>
            <w:r w:rsidRPr="00AD22CE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  <w:r w:rsidRPr="00AD22CE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  <w:r w:rsidRPr="00AD22CE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364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Подготовка проектно сметной документации</w:t>
            </w:r>
          </w:p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Pr="00AD22CE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Pr="00AD22CE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Газификация нежилого здания – котельной МБУК «СКО ОМР»</w:t>
            </w:r>
            <w:proofErr w:type="gramStart"/>
            <w:r w:rsidRPr="00AD22CE">
              <w:rPr>
                <w:rFonts w:ascii="Times New Roman" w:hAnsi="Times New Roman"/>
                <w:color w:val="000000"/>
              </w:rPr>
              <w:t>,р</w:t>
            </w:r>
            <w:proofErr w:type="gramEnd"/>
            <w:r w:rsidRPr="00AD22CE">
              <w:rPr>
                <w:rFonts w:ascii="Times New Roman" w:hAnsi="Times New Roman"/>
                <w:color w:val="000000"/>
              </w:rPr>
              <w:t>асположенной по адресу: р.п. Озинки, ул. Ленина, д. 22</w:t>
            </w:r>
            <w:proofErr w:type="gramStart"/>
            <w:r w:rsidRPr="00AD22CE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47016-44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47</w:t>
            </w:r>
            <w:r w:rsidRPr="00AD22C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16-44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оборудования для нежилого здания МБУК «СКО ОМР», расположенного</w:t>
            </w:r>
            <w:r w:rsidRPr="00AD22CE">
              <w:rPr>
                <w:rFonts w:ascii="Times New Roman" w:hAnsi="Times New Roman"/>
                <w:color w:val="000000"/>
              </w:rPr>
              <w:t xml:space="preserve"> по адресу: р.п. Озинки, ул. Ленина, д. 22</w:t>
            </w:r>
            <w:proofErr w:type="gramStart"/>
            <w:r w:rsidRPr="00AD22CE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556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AD22CE">
              <w:rPr>
                <w:rFonts w:ascii="Times New Roman" w:hAnsi="Times New Roman"/>
                <w:color w:val="000000"/>
              </w:rPr>
              <w:t>емонт внутренней системы теплоснабжения котельной МБУК «СКО ОМР», расположенной по адресу: р.п. Озинки, ул. Ленина, д. 22</w:t>
            </w:r>
            <w:proofErr w:type="gramStart"/>
            <w:r w:rsidRPr="00AD22CE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348411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2C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48411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704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 xml:space="preserve">Монтаж системы электроснабжения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67831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67831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</w:t>
            </w:r>
            <w:r w:rsidRPr="004161BD">
              <w:rPr>
                <w:rFonts w:ascii="Times New Roman" w:hAnsi="Times New Roman"/>
                <w:color w:val="000000"/>
                <w:spacing w:val="-20"/>
              </w:rPr>
              <w:t xml:space="preserve">потребления </w:t>
            </w:r>
            <w:proofErr w:type="spellStart"/>
            <w:r w:rsidRPr="004161BD">
              <w:rPr>
                <w:rFonts w:ascii="Times New Roman" w:hAnsi="Times New Roman"/>
                <w:color w:val="000000"/>
                <w:spacing w:val="-20"/>
              </w:rPr>
              <w:t>тэр</w:t>
            </w:r>
            <w:proofErr w:type="spellEnd"/>
            <w:r w:rsidRPr="004161BD">
              <w:rPr>
                <w:rFonts w:ascii="Times New Roman" w:hAnsi="Times New Roman"/>
                <w:color w:val="000000"/>
                <w:spacing w:val="-20"/>
              </w:rPr>
              <w:t xml:space="preserve">, повышение качества </w:t>
            </w:r>
            <w:r w:rsidRPr="004161BD">
              <w:rPr>
                <w:rFonts w:ascii="Times New Roman" w:hAnsi="Times New Roman"/>
                <w:color w:val="000000"/>
                <w:spacing w:val="-20"/>
              </w:rPr>
              <w:lastRenderedPageBreak/>
              <w:t>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</w:t>
            </w:r>
            <w:r w:rsidRPr="00AD22CE">
              <w:rPr>
                <w:rFonts w:ascii="Times New Roman" w:hAnsi="Times New Roman"/>
                <w:color w:val="000000"/>
              </w:rPr>
              <w:t>емонт наружной системы теплоснабжения МБУК «СКО ОМР», расположенной по адресу: р.п. Озинки, ул. Ленина, д. 22</w:t>
            </w:r>
            <w:proofErr w:type="gramStart"/>
            <w:r w:rsidRPr="00AD22CE"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AD22CE">
              <w:rPr>
                <w:rFonts w:ascii="Times New Roman" w:hAnsi="Times New Roman"/>
              </w:rPr>
              <w:t>199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2CE">
              <w:rPr>
                <w:rFonts w:ascii="Times New Roman" w:hAnsi="Times New Roman"/>
              </w:rPr>
              <w:t>150199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>МБУК «СКО ОМР»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AD22CE">
              <w:rPr>
                <w:rFonts w:ascii="Times New Roman" w:hAnsi="Times New Roman"/>
                <w:color w:val="000000"/>
              </w:rPr>
              <w:t>емонт внутренней системы теплоснабжения нежилого здания МУ ДО Озинская ДШИ, расположенного по адресу: р.п. Озинки ул. Ленина, д. 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279973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279973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  <w:jc w:val="center"/>
            </w:pPr>
            <w:r w:rsidRPr="00AD22CE">
              <w:rPr>
                <w:rFonts w:ascii="Times New Roman" w:hAnsi="Times New Roman"/>
                <w:color w:val="000000"/>
              </w:rPr>
              <w:t>МУ ДО Озинская ДШИ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</w:t>
            </w:r>
            <w:r w:rsidRPr="00AD22CE">
              <w:rPr>
                <w:rFonts w:ascii="Times New Roman" w:hAnsi="Times New Roman"/>
                <w:color w:val="000000"/>
              </w:rPr>
              <w:t>наружной системы теплоснабжения  нежилого здания МУ ДО Озинская ДШИ, расположенного по адресу: р.п. Озинки ул. Ленина, д. 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449865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449865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  <w:jc w:val="center"/>
            </w:pPr>
            <w:r w:rsidRPr="00AD22CE">
              <w:rPr>
                <w:rFonts w:ascii="Times New Roman" w:hAnsi="Times New Roman"/>
                <w:color w:val="000000"/>
              </w:rPr>
              <w:t>МУ ДО Озинская ДШИ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AD22CE">
              <w:rPr>
                <w:rFonts w:ascii="Times New Roman" w:hAnsi="Times New Roman"/>
                <w:color w:val="000000"/>
              </w:rPr>
              <w:t xml:space="preserve">емонт внутренней </w:t>
            </w:r>
            <w:r>
              <w:rPr>
                <w:rFonts w:ascii="Times New Roman" w:hAnsi="Times New Roman"/>
                <w:color w:val="000000"/>
              </w:rPr>
              <w:t xml:space="preserve">и наружной </w:t>
            </w:r>
            <w:r w:rsidRPr="00AD22CE">
              <w:rPr>
                <w:rFonts w:ascii="Times New Roman" w:hAnsi="Times New Roman"/>
                <w:color w:val="000000"/>
              </w:rPr>
              <w:t>системы теплоснабжения нежилого здания МКУ «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ЦОПКиТО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расположенного по адресу:    р.п. Озинки ул. Ленина, д. 14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  <w:r w:rsidRPr="00AD22CE">
              <w:rPr>
                <w:rFonts w:ascii="Times New Roman" w:hAnsi="Times New Roman"/>
                <w:color w:val="000000"/>
              </w:rPr>
              <w:t>976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  <w:r w:rsidRPr="00AD22CE">
              <w:rPr>
                <w:rFonts w:ascii="Times New Roman" w:hAnsi="Times New Roman"/>
                <w:color w:val="000000"/>
              </w:rPr>
              <w:t>976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МКУ «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ЦОПКиТО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gridAfter w:val="1"/>
          <w:wAfter w:w="22" w:type="dxa"/>
          <w:trHeight w:val="1069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строительных материалов для ремонта</w:t>
            </w:r>
            <w:r w:rsidRPr="00AD22CE">
              <w:rPr>
                <w:rFonts w:ascii="Times New Roman" w:hAnsi="Times New Roman"/>
                <w:color w:val="000000"/>
              </w:rPr>
              <w:t xml:space="preserve"> нежилого здания МУ ДО Озинская ДШИ, расположенного по адресу: р.п. Озинки ул. Ленина, д. 20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318780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318780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  <w:jc w:val="center"/>
            </w:pPr>
            <w:r w:rsidRPr="00AD22CE">
              <w:rPr>
                <w:rFonts w:ascii="Times New Roman" w:hAnsi="Times New Roman"/>
                <w:color w:val="000000"/>
              </w:rPr>
              <w:t>МУ ДО Озинская ДШИ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spacing w:after="0" w:line="240" w:lineRule="auto"/>
            </w:pPr>
            <w:r w:rsidRPr="00AD22CE">
              <w:rPr>
                <w:rFonts w:ascii="Times New Roman" w:hAnsi="Times New Roman"/>
                <w:color w:val="000000"/>
              </w:rPr>
              <w:t xml:space="preserve">систематизация учёта потребления </w:t>
            </w:r>
            <w:proofErr w:type="spellStart"/>
            <w:r w:rsidRPr="00AD22CE">
              <w:rPr>
                <w:rFonts w:ascii="Times New Roman" w:hAnsi="Times New Roman"/>
                <w:color w:val="000000"/>
              </w:rPr>
              <w:t>тэр</w:t>
            </w:r>
            <w:proofErr w:type="spellEnd"/>
            <w:r w:rsidRPr="00AD22CE">
              <w:rPr>
                <w:rFonts w:ascii="Times New Roman" w:hAnsi="Times New Roman"/>
                <w:color w:val="000000"/>
              </w:rPr>
              <w:t>, повышение качества предоставления коммунальных услуг</w:t>
            </w:r>
          </w:p>
        </w:tc>
      </w:tr>
      <w:tr w:rsidR="004161BD" w:rsidRPr="00AD22CE" w:rsidTr="004161BD">
        <w:trPr>
          <w:trHeight w:val="362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2552651-44</w:t>
            </w:r>
          </w:p>
        </w:tc>
        <w:tc>
          <w:tcPr>
            <w:tcW w:w="2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2552651-44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4161BD" w:rsidRPr="008F69F0" w:rsidRDefault="004161BD" w:rsidP="00416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F0">
        <w:rPr>
          <w:rFonts w:ascii="Times New Roman" w:hAnsi="Times New Roman"/>
          <w:sz w:val="28"/>
          <w:szCs w:val="28"/>
        </w:rPr>
        <w:t>ВЕРНО:  начальник отдела делопроизводства</w:t>
      </w:r>
    </w:p>
    <w:p w:rsidR="004161BD" w:rsidRPr="008F69F0" w:rsidRDefault="004161BD" w:rsidP="00416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F0">
        <w:rPr>
          <w:rFonts w:ascii="Times New Roman" w:hAnsi="Times New Roman"/>
          <w:sz w:val="28"/>
          <w:szCs w:val="28"/>
        </w:rPr>
        <w:t xml:space="preserve">                и технического обеспечения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8F69F0">
        <w:rPr>
          <w:rFonts w:ascii="Times New Roman" w:hAnsi="Times New Roman"/>
          <w:sz w:val="28"/>
          <w:szCs w:val="28"/>
        </w:rPr>
        <w:t xml:space="preserve">         С.В. Сибирь</w:t>
      </w:r>
    </w:p>
    <w:p w:rsidR="004161BD" w:rsidRDefault="004161BD" w:rsidP="0041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1BD" w:rsidRDefault="004161BD" w:rsidP="0041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1BD" w:rsidRDefault="004161BD" w:rsidP="00416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1BD" w:rsidRDefault="004161BD" w:rsidP="004161BD">
      <w:pPr>
        <w:tabs>
          <w:tab w:val="left" w:pos="116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Приложение № 2  </w:t>
      </w:r>
    </w:p>
    <w:p w:rsidR="004161BD" w:rsidRDefault="004161BD" w:rsidP="004161BD">
      <w:pPr>
        <w:tabs>
          <w:tab w:val="left" w:pos="116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постановлению</w:t>
      </w:r>
    </w:p>
    <w:p w:rsidR="004161BD" w:rsidRDefault="004161BD" w:rsidP="004161BD">
      <w:pPr>
        <w:jc w:val="right"/>
        <w:rPr>
          <w:rFonts w:ascii="Times New Roman" w:hAnsi="Times New Roman"/>
          <w:sz w:val="28"/>
          <w:szCs w:val="28"/>
        </w:rPr>
      </w:pPr>
    </w:p>
    <w:p w:rsidR="004161BD" w:rsidRPr="00CF2F06" w:rsidRDefault="004161BD" w:rsidP="004161BD">
      <w:pPr>
        <w:jc w:val="center"/>
        <w:rPr>
          <w:rFonts w:ascii="Times New Roman" w:hAnsi="Times New Roman"/>
          <w:b/>
          <w:sz w:val="28"/>
          <w:szCs w:val="28"/>
        </w:rPr>
      </w:pPr>
      <w:r w:rsidRPr="00CF2F06">
        <w:rPr>
          <w:rFonts w:ascii="Times New Roman" w:hAnsi="Times New Roman"/>
          <w:b/>
          <w:sz w:val="28"/>
          <w:szCs w:val="28"/>
        </w:rPr>
        <w:t>Объемы и источ</w:t>
      </w:r>
      <w:r>
        <w:rPr>
          <w:rFonts w:ascii="Times New Roman" w:hAnsi="Times New Roman"/>
          <w:b/>
          <w:sz w:val="28"/>
          <w:szCs w:val="28"/>
        </w:rPr>
        <w:t>ники финансирования программы (</w:t>
      </w:r>
      <w:r w:rsidRPr="00CF2F06">
        <w:rPr>
          <w:rFonts w:ascii="Times New Roman" w:hAnsi="Times New Roman"/>
          <w:b/>
          <w:sz w:val="28"/>
          <w:szCs w:val="28"/>
        </w:rPr>
        <w:t>рублей)</w:t>
      </w:r>
    </w:p>
    <w:tbl>
      <w:tblPr>
        <w:tblW w:w="14033" w:type="dxa"/>
        <w:tblInd w:w="8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"/>
        <w:gridCol w:w="1032"/>
        <w:gridCol w:w="2928"/>
        <w:gridCol w:w="2551"/>
        <w:gridCol w:w="7371"/>
      </w:tblGrid>
      <w:tr w:rsidR="004161BD" w:rsidRPr="00AD22CE" w:rsidTr="00DE3D89">
        <w:trPr>
          <w:trHeight w:val="751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объем сре</w:t>
            </w:r>
            <w:proofErr w:type="gramStart"/>
            <w:r w:rsidRPr="00AD22CE">
              <w:rPr>
                <w:rFonts w:ascii="Times New Roman" w:hAnsi="Times New Roman"/>
                <w:b/>
                <w:bCs/>
                <w:color w:val="000000"/>
              </w:rPr>
              <w:t>дств вс</w:t>
            </w:r>
            <w:proofErr w:type="gramEnd"/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его </w:t>
            </w:r>
          </w:p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рублей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в том числе по годам</w:t>
            </w:r>
          </w:p>
        </w:tc>
      </w:tr>
      <w:tr w:rsidR="004161BD" w:rsidRPr="00AD22CE" w:rsidTr="00DE3D89">
        <w:trPr>
          <w:trHeight w:val="408"/>
        </w:trPr>
        <w:tc>
          <w:tcPr>
            <w:tcW w:w="1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2016</w:t>
            </w:r>
          </w:p>
        </w:tc>
      </w:tr>
      <w:tr w:rsidR="004161BD" w:rsidRPr="00AD22CE" w:rsidTr="00DE3D89">
        <w:trPr>
          <w:trHeight w:val="100"/>
        </w:trPr>
        <w:tc>
          <w:tcPr>
            <w:tcW w:w="1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161BD" w:rsidRPr="00AD22CE" w:rsidTr="00DE3D89">
        <w:trPr>
          <w:trHeight w:val="204"/>
        </w:trPr>
        <w:tc>
          <w:tcPr>
            <w:tcW w:w="1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1BD" w:rsidRPr="00AD22CE" w:rsidTr="00DE3D89">
        <w:trPr>
          <w:trHeight w:val="29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2552651-44</w:t>
            </w:r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2552651-44</w:t>
            </w:r>
          </w:p>
        </w:tc>
      </w:tr>
      <w:tr w:rsidR="004161BD" w:rsidRPr="00AD22CE" w:rsidTr="00DE3D89">
        <w:trPr>
          <w:trHeight w:val="144"/>
        </w:trPr>
        <w:tc>
          <w:tcPr>
            <w:tcW w:w="1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1BD" w:rsidRPr="00AD22CE" w:rsidTr="00DE3D89">
        <w:trPr>
          <w:trHeight w:val="731"/>
        </w:trPr>
        <w:tc>
          <w:tcPr>
            <w:tcW w:w="1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1BD" w:rsidRPr="00AD22CE" w:rsidTr="00DE3D89">
        <w:trPr>
          <w:trHeight w:val="29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2552651-44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BD" w:rsidRPr="00AD22CE" w:rsidRDefault="004161BD" w:rsidP="00DE3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2552651-44</w:t>
            </w:r>
          </w:p>
        </w:tc>
      </w:tr>
    </w:tbl>
    <w:p w:rsidR="004161BD" w:rsidRDefault="004161BD" w:rsidP="004161B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161BD" w:rsidRDefault="004161BD" w:rsidP="004161BD">
      <w:pPr>
        <w:rPr>
          <w:rFonts w:ascii="Times New Roman" w:hAnsi="Times New Roman"/>
          <w:sz w:val="28"/>
          <w:szCs w:val="28"/>
        </w:rPr>
      </w:pPr>
    </w:p>
    <w:p w:rsidR="004161BD" w:rsidRDefault="004161BD" w:rsidP="004161BD">
      <w:pPr>
        <w:rPr>
          <w:rFonts w:ascii="Times New Roman" w:hAnsi="Times New Roman"/>
          <w:sz w:val="28"/>
          <w:szCs w:val="28"/>
        </w:rPr>
      </w:pPr>
    </w:p>
    <w:p w:rsidR="004161BD" w:rsidRDefault="004161BD" w:rsidP="004161B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 w:val="20"/>
        </w:rPr>
      </w:pPr>
    </w:p>
    <w:p w:rsidR="00F93AAE" w:rsidRDefault="00F93AAE"/>
    <w:sectPr w:rsidR="00F93AAE" w:rsidSect="004161BD">
      <w:pgSz w:w="16838" w:h="11906" w:orient="landscape"/>
      <w:pgMar w:top="1418" w:right="73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11BB"/>
    <w:rsid w:val="003A5F8A"/>
    <w:rsid w:val="004161BD"/>
    <w:rsid w:val="004967B8"/>
    <w:rsid w:val="007811BB"/>
    <w:rsid w:val="00811C53"/>
    <w:rsid w:val="00B854B8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BB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1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1B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811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61BD"/>
    <w:rPr>
      <w:rFonts w:ascii="Arial" w:eastAsia="Calibri" w:hAnsi="Arial" w:cs="Arial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161BD"/>
    <w:pPr>
      <w:ind w:left="720"/>
      <w:contextualSpacing/>
    </w:pPr>
    <w:rPr>
      <w:rFonts w:eastAsia="Calibri"/>
    </w:rPr>
  </w:style>
  <w:style w:type="character" w:customStyle="1" w:styleId="a6">
    <w:name w:val="Цветовое выделение"/>
    <w:uiPriority w:val="99"/>
    <w:rsid w:val="004161BD"/>
    <w:rPr>
      <w:b/>
      <w:color w:val="000080"/>
      <w:sz w:val="20"/>
    </w:rPr>
  </w:style>
  <w:style w:type="paragraph" w:customStyle="1" w:styleId="a7">
    <w:name w:val="Таблицы (моноширинный)"/>
    <w:basedOn w:val="a"/>
    <w:next w:val="a"/>
    <w:uiPriority w:val="99"/>
    <w:rsid w:val="0041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2016-09-08T12:20:00Z</dcterms:created>
  <dcterms:modified xsi:type="dcterms:W3CDTF">2016-09-08T12:38:00Z</dcterms:modified>
</cp:coreProperties>
</file>